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left"/>
        <w:textAlignment w:val="auto"/>
        <w:rPr>
          <w:rFonts w:hint="default" w:ascii="Times New Roman" w:hAnsi="Times New Roman" w:eastAsia="方正小标宋简体" w:cs="Times New Roman"/>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color w:val="000000"/>
          <w:spacing w:val="0"/>
          <w:sz w:val="44"/>
          <w:szCs w:val="44"/>
          <w:lang w:eastAsia="zh-CN"/>
        </w:rPr>
      </w:pPr>
      <w:r>
        <w:rPr>
          <w:rFonts w:hint="default" w:ascii="Times New Roman" w:hAnsi="Times New Roman" w:eastAsia="方正小标宋简体" w:cs="Times New Roman"/>
          <w:color w:val="000000"/>
          <w:spacing w:val="0"/>
          <w:sz w:val="44"/>
          <w:szCs w:val="44"/>
          <w:lang w:eastAsia="zh-CN"/>
        </w:rPr>
        <w:t>呼和浩特市委宣传部所属事业单位</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color w:val="000000"/>
          <w:spacing w:val="0"/>
          <w:sz w:val="44"/>
          <w:szCs w:val="44"/>
          <w:lang w:eastAsia="zh-CN"/>
        </w:rPr>
      </w:pPr>
      <w:r>
        <w:rPr>
          <w:rFonts w:hint="default" w:ascii="Times New Roman" w:hAnsi="Times New Roman" w:eastAsia="方正小标宋简体" w:cs="Times New Roman"/>
          <w:color w:val="000000"/>
          <w:spacing w:val="0"/>
          <w:sz w:val="44"/>
          <w:szCs w:val="44"/>
          <w:lang w:val="en-US"/>
        </w:rPr>
        <w:t>2024年第二批</w:t>
      </w:r>
      <w:r>
        <w:rPr>
          <w:rFonts w:hint="default" w:ascii="Times New Roman" w:hAnsi="Times New Roman" w:eastAsia="方正小标宋简体" w:cs="Times New Roman"/>
          <w:color w:val="000000"/>
          <w:spacing w:val="0"/>
          <w:sz w:val="44"/>
          <w:szCs w:val="44"/>
        </w:rPr>
        <w:t>人才引进公告</w:t>
      </w:r>
    </w:p>
    <w:p>
      <w:pPr>
        <w:keepNext w:val="0"/>
        <w:keepLines w:val="0"/>
        <w:pageBreakBefore w:val="0"/>
        <w:kinsoku/>
        <w:wordWrap/>
        <w:overflowPunct/>
        <w:topLinePunct w:val="0"/>
        <w:bidi w:val="0"/>
        <w:spacing w:line="560" w:lineRule="exact"/>
        <w:ind w:left="2340" w:hanging="2340" w:hangingChars="650"/>
        <w:rPr>
          <w:rFonts w:hint="default" w:ascii="Times New Roman" w:hAnsi="Times New Roman" w:eastAsia="方正小标宋_GBK" w:cs="Times New Roman"/>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呼和浩特市委讲师团成立于20世纪50年代，是呼和浩特市委宣传部所属公益一类事业单位。主要承担理论宣传、理论研究、参与马克思主义理论研究和建设工程，组织实施中央、自治区党委和市委的重大主题宣讲、开展基层理论宣讲、研究和推进群众思想政治教育工作，编写通俗理论读物、培训宣讲骨干等职责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小标宋_GBK" w:hAnsi="方正小标宋_GBK" w:eastAsia="方正小标宋_GBK" w:cs="方正小标宋_GBK"/>
          <w:b/>
          <w:bCs/>
          <w:sz w:val="32"/>
          <w:szCs w:val="32"/>
          <w:lang w:val="en-US" w:eastAsia="zh-CN"/>
        </w:rPr>
      </w:pPr>
      <w:r>
        <w:rPr>
          <w:rFonts w:hint="eastAsia" w:ascii="仿宋_GB2312" w:hAnsi="仿宋_GB2312" w:eastAsia="仿宋_GB2312" w:cs="仿宋_GB2312"/>
          <w:sz w:val="32"/>
          <w:szCs w:val="32"/>
          <w:lang w:val="en-US" w:eastAsia="zh-CN"/>
        </w:rPr>
        <w:t>呼和浩特市精神文明创建中心成立于2023年1月，是呼和浩特市委宣传部所属公益一类事业单位。负责贯彻落实党中央关于精神文明建设工作的方针政策，贯彻执行自治区党委和市委关于精神文明建设工作的决策部署，承担呼和浩特市文明城市、文明村镇创建的总体规划和统筹实施及调研、督查、考核，组织开展群众性精神文明创建等工作职责。</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一、引进计划</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本次共计划引进3名青年人才。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eastAsia"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eastAsia" w:eastAsia="黑体" w:cs="Times New Roman"/>
          <w:color w:val="000000"/>
          <w:spacing w:val="0"/>
          <w:sz w:val="32"/>
          <w:szCs w:val="32"/>
          <w:lang w:eastAsia="zh-CN"/>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731" w:leftChars="348" w:right="144" w:firstLine="0" w:firstLineChars="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60" w:lineRule="exact"/>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0"/>
        </w:numPr>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eastAsia" w:ascii="Times New Roman" w:hAnsi="Times New Roman" w:eastAsia="仿宋_GB2312" w:cs="Times New Roman"/>
          <w:bCs/>
          <w:color w:val="auto"/>
          <w:spacing w:val="0"/>
          <w:kern w:val="0"/>
          <w:sz w:val="32"/>
          <w:szCs w:val="32"/>
          <w:lang w:eastAsia="zh-CN"/>
        </w:rPr>
        <w:t>（</w:t>
      </w:r>
      <w:r>
        <w:rPr>
          <w:rFonts w:hint="eastAsia" w:ascii="Times New Roman" w:hAnsi="Times New Roman" w:eastAsia="仿宋_GB2312" w:cs="Times New Roman"/>
          <w:bCs/>
          <w:color w:val="auto"/>
          <w:spacing w:val="0"/>
          <w:kern w:val="0"/>
          <w:sz w:val="32"/>
          <w:szCs w:val="32"/>
          <w:lang w:val="en-US" w:eastAsia="zh-CN"/>
        </w:rPr>
        <w:t>6</w:t>
      </w:r>
      <w:r>
        <w:rPr>
          <w:rFonts w:hint="eastAsia"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（二）资格审查</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（四）体检</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after="0" w:line="56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8"/>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本公告由呼和浩特市委宣传部负责解释。</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1600" w:firstLineChars="500"/>
        <w:jc w:val="both"/>
        <w:textAlignment w:val="auto"/>
        <w:rPr>
          <w:rFonts w:hint="default" w:ascii="Times New Roman" w:hAnsi="Times New Roman" w:eastAsia="仿宋_GB2312" w:cs="Times New Roman"/>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1920" w:firstLineChars="6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呼和浩特市委宣传部</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2560" w:firstLineChars="8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sectPr>
      <w:footerReference r:id="rId3" w:type="default"/>
      <w:pgSz w:w="11906" w:h="16838"/>
      <w:pgMar w:top="2098" w:right="1474"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3011995"/>
      <w:docPartObj>
        <w:docPartGallery w:val="autotext"/>
      </w:docPartObj>
    </w:sdtPr>
    <w:sdtEndPr>
      <w:rPr>
        <w:rFonts w:hint="eastAsia" w:ascii="仿宋_GB2312" w:eastAsia="仿宋_GB2312"/>
        <w:sz w:val="30"/>
        <w:szCs w:val="30"/>
      </w:rPr>
    </w:sdtEndPr>
    <w:sdtContent>
      <w:p>
        <w:pPr>
          <w:pStyle w:val="6"/>
          <w:jc w:val="center"/>
          <w:rPr>
            <w:rFonts w:ascii="仿宋_GB2312" w:eastAsia="仿宋_GB2312"/>
            <w:sz w:val="30"/>
            <w:szCs w:val="30"/>
          </w:rPr>
        </w:pPr>
        <w:r>
          <w:rPr>
            <w:rFonts w:hint="eastAsia" w:ascii="仿宋_GB2312" w:eastAsia="仿宋_GB2312"/>
            <w:sz w:val="30"/>
            <w:szCs w:val="30"/>
          </w:rPr>
          <w:fldChar w:fldCharType="begin"/>
        </w:r>
        <w:r>
          <w:rPr>
            <w:rFonts w:hint="eastAsia" w:ascii="仿宋_GB2312" w:eastAsia="仿宋_GB2312"/>
            <w:sz w:val="30"/>
            <w:szCs w:val="30"/>
          </w:rPr>
          <w:instrText xml:space="preserve">PAGE   \* MERGEFORMAT</w:instrText>
        </w:r>
        <w:r>
          <w:rPr>
            <w:rFonts w:hint="eastAsia" w:ascii="仿宋_GB2312" w:eastAsia="仿宋_GB2312"/>
            <w:sz w:val="30"/>
            <w:szCs w:val="30"/>
          </w:rPr>
          <w:fldChar w:fldCharType="separate"/>
        </w:r>
        <w:r>
          <w:rPr>
            <w:rFonts w:ascii="仿宋_GB2312" w:eastAsia="仿宋_GB2312"/>
            <w:sz w:val="30"/>
            <w:szCs w:val="30"/>
            <w:lang w:val="zh-CN"/>
          </w:rPr>
          <w:t>-</w:t>
        </w:r>
        <w:r>
          <w:rPr>
            <w:rFonts w:ascii="仿宋_GB2312" w:eastAsia="仿宋_GB2312"/>
            <w:sz w:val="30"/>
            <w:szCs w:val="30"/>
          </w:rPr>
          <w:t xml:space="preserve"> 21 -</w:t>
        </w:r>
        <w:r>
          <w:rPr>
            <w:rFonts w:hint="eastAsia" w:ascii="仿宋_GB2312" w:eastAsia="仿宋_GB2312"/>
            <w:sz w:val="30"/>
            <w:szCs w:val="30"/>
          </w:rPr>
          <w:fldChar w:fldCharType="end"/>
        </w:r>
      </w:p>
    </w:sdtContent>
  </w:sdt>
  <w:p>
    <w:pPr>
      <w:pStyle w:val="6"/>
      <w:rPr>
        <w:rFonts w:ascii="仿宋_GB2312" w:eastAsia="仿宋_GB2312"/>
        <w:sz w:val="30"/>
        <w:szCs w:val="3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0YjhjNGZlNGFjZTg2YTVjZWI4ZTRhNTM0MjNiZmQifQ=="/>
  </w:docVars>
  <w:rsids>
    <w:rsidRoot w:val="005B693D"/>
    <w:rsid w:val="000174E7"/>
    <w:rsid w:val="00074290"/>
    <w:rsid w:val="00085CDC"/>
    <w:rsid w:val="0009059F"/>
    <w:rsid w:val="000A3B81"/>
    <w:rsid w:val="000C1258"/>
    <w:rsid w:val="000E5119"/>
    <w:rsid w:val="000F1360"/>
    <w:rsid w:val="00127AB6"/>
    <w:rsid w:val="0019345C"/>
    <w:rsid w:val="001A5AA2"/>
    <w:rsid w:val="00225F62"/>
    <w:rsid w:val="002306CB"/>
    <w:rsid w:val="00271F60"/>
    <w:rsid w:val="002B6EF5"/>
    <w:rsid w:val="002E5849"/>
    <w:rsid w:val="00304C9A"/>
    <w:rsid w:val="00320F48"/>
    <w:rsid w:val="00321D27"/>
    <w:rsid w:val="00346A26"/>
    <w:rsid w:val="003D1006"/>
    <w:rsid w:val="003F0B1D"/>
    <w:rsid w:val="00400BBD"/>
    <w:rsid w:val="0042643D"/>
    <w:rsid w:val="00433AA8"/>
    <w:rsid w:val="00456826"/>
    <w:rsid w:val="00470F23"/>
    <w:rsid w:val="004A105C"/>
    <w:rsid w:val="004B123E"/>
    <w:rsid w:val="004F73FB"/>
    <w:rsid w:val="005B693D"/>
    <w:rsid w:val="005E7597"/>
    <w:rsid w:val="005F321A"/>
    <w:rsid w:val="00602883"/>
    <w:rsid w:val="00644ED7"/>
    <w:rsid w:val="00651106"/>
    <w:rsid w:val="00671CEF"/>
    <w:rsid w:val="006A3079"/>
    <w:rsid w:val="006B6EBA"/>
    <w:rsid w:val="006D2126"/>
    <w:rsid w:val="007040AC"/>
    <w:rsid w:val="00705309"/>
    <w:rsid w:val="007D7C76"/>
    <w:rsid w:val="008B2000"/>
    <w:rsid w:val="008D0ABB"/>
    <w:rsid w:val="00914C1D"/>
    <w:rsid w:val="0093048B"/>
    <w:rsid w:val="00931374"/>
    <w:rsid w:val="00977ECF"/>
    <w:rsid w:val="00986201"/>
    <w:rsid w:val="009865BF"/>
    <w:rsid w:val="009978B1"/>
    <w:rsid w:val="009D580D"/>
    <w:rsid w:val="009F55F5"/>
    <w:rsid w:val="00A82024"/>
    <w:rsid w:val="00AB3DC4"/>
    <w:rsid w:val="00AE599F"/>
    <w:rsid w:val="00AF6383"/>
    <w:rsid w:val="00B51A08"/>
    <w:rsid w:val="00B55D9F"/>
    <w:rsid w:val="00B6630D"/>
    <w:rsid w:val="00B66347"/>
    <w:rsid w:val="00BA20BF"/>
    <w:rsid w:val="00BB3F2E"/>
    <w:rsid w:val="00BE60FF"/>
    <w:rsid w:val="00C05C87"/>
    <w:rsid w:val="00C13B8C"/>
    <w:rsid w:val="00C21D49"/>
    <w:rsid w:val="00C342E6"/>
    <w:rsid w:val="00C45071"/>
    <w:rsid w:val="00C55C97"/>
    <w:rsid w:val="00C67B0B"/>
    <w:rsid w:val="00C92148"/>
    <w:rsid w:val="00CA26BE"/>
    <w:rsid w:val="00CB1FA5"/>
    <w:rsid w:val="00CD6861"/>
    <w:rsid w:val="00CE0306"/>
    <w:rsid w:val="00D10655"/>
    <w:rsid w:val="00D20470"/>
    <w:rsid w:val="00D407F1"/>
    <w:rsid w:val="00D515AC"/>
    <w:rsid w:val="00D52614"/>
    <w:rsid w:val="00D609C8"/>
    <w:rsid w:val="00DB4002"/>
    <w:rsid w:val="00DC17E9"/>
    <w:rsid w:val="00DF6D94"/>
    <w:rsid w:val="00E41518"/>
    <w:rsid w:val="00E46641"/>
    <w:rsid w:val="00E60A58"/>
    <w:rsid w:val="00E8165E"/>
    <w:rsid w:val="00E9479E"/>
    <w:rsid w:val="00EA4D61"/>
    <w:rsid w:val="00F5227A"/>
    <w:rsid w:val="00F601A0"/>
    <w:rsid w:val="00FD60C5"/>
    <w:rsid w:val="04311DDC"/>
    <w:rsid w:val="044228CE"/>
    <w:rsid w:val="111E28B5"/>
    <w:rsid w:val="13435142"/>
    <w:rsid w:val="24832815"/>
    <w:rsid w:val="30380D65"/>
    <w:rsid w:val="327C02FE"/>
    <w:rsid w:val="3C7D5F8A"/>
    <w:rsid w:val="3E7771D9"/>
    <w:rsid w:val="53003589"/>
    <w:rsid w:val="5A4D06F4"/>
    <w:rsid w:val="5FA7BDD4"/>
    <w:rsid w:val="69D0221D"/>
    <w:rsid w:val="6DAF6F69"/>
    <w:rsid w:val="6E4B1094"/>
    <w:rsid w:val="777F36D9"/>
    <w:rsid w:val="7FBC9989"/>
    <w:rsid w:val="ED83148A"/>
    <w:rsid w:val="EEEF6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qFormat/>
    <w:uiPriority w:val="0"/>
    <w:pPr>
      <w:spacing w:line="580" w:lineRule="exact"/>
      <w:ind w:firstLine="640" w:firstLineChars="200"/>
      <w:outlineLvl w:val="0"/>
    </w:pPr>
    <w:rPr>
      <w:rFonts w:ascii="黑体" w:hAnsi="黑体" w:eastAsia="黑体" w:cs="楷体"/>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4">
    <w:name w:val="Body Text"/>
    <w:basedOn w:val="1"/>
    <w:link w:val="16"/>
    <w:semiHidden/>
    <w:unhideWhenUsed/>
    <w:qFormat/>
    <w:uiPriority w:val="99"/>
    <w:pPr>
      <w:spacing w:after="120" w:line="580" w:lineRule="exact"/>
      <w:ind w:firstLine="640" w:firstLineChars="200"/>
    </w:pPr>
    <w:rPr>
      <w:rFonts w:ascii="仿宋_GB2312" w:hAnsi="仿宋_GB2312" w:eastAsia="仿宋_GB2312" w:cs="仿宋_GB2312"/>
      <w:sz w:val="32"/>
      <w:szCs w:val="32"/>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qFormat/>
    <w:uiPriority w:val="0"/>
    <w:pPr>
      <w:spacing w:beforeAutospacing="1" w:afterAutospacing="1"/>
      <w:jc w:val="left"/>
    </w:pPr>
    <w:rPr>
      <w:rFonts w:ascii="Calibri" w:hAnsi="Calibri" w:eastAsia="宋体" w:cs="Times New Roman"/>
      <w:kern w:val="0"/>
      <w:sz w:val="24"/>
    </w:rPr>
  </w:style>
  <w:style w:type="character" w:styleId="11">
    <w:name w:val="Hyperlink"/>
    <w:basedOn w:val="10"/>
    <w:autoRedefine/>
    <w:qFormat/>
    <w:uiPriority w:val="0"/>
    <w:rPr>
      <w:color w:val="0563C1" w:themeColor="hyperlink"/>
      <w:u w:val="single"/>
      <w14:textFill>
        <w14:solidFill>
          <w14:schemeClr w14:val="hlink"/>
        </w14:solidFill>
      </w14:textFill>
    </w:rPr>
  </w:style>
  <w:style w:type="character" w:customStyle="1" w:styleId="12">
    <w:name w:val="页眉 Char"/>
    <w:basedOn w:val="10"/>
    <w:link w:val="7"/>
    <w:autoRedefine/>
    <w:qFormat/>
    <w:uiPriority w:val="99"/>
    <w:rPr>
      <w:sz w:val="18"/>
      <w:szCs w:val="18"/>
    </w:rPr>
  </w:style>
  <w:style w:type="character" w:customStyle="1" w:styleId="13">
    <w:name w:val="页脚 Char"/>
    <w:basedOn w:val="10"/>
    <w:link w:val="6"/>
    <w:autoRedefine/>
    <w:qFormat/>
    <w:uiPriority w:val="99"/>
    <w:rPr>
      <w:sz w:val="18"/>
      <w:szCs w:val="18"/>
    </w:rPr>
  </w:style>
  <w:style w:type="character" w:customStyle="1" w:styleId="14">
    <w:name w:val="批注框文本 Char"/>
    <w:basedOn w:val="10"/>
    <w:link w:val="5"/>
    <w:autoRedefine/>
    <w:semiHidden/>
    <w:qFormat/>
    <w:uiPriority w:val="99"/>
    <w:rPr>
      <w:rFonts w:ascii="Times New Roman" w:hAnsi="Times New Roman" w:eastAsia="宋体" w:cs="Times New Roman"/>
      <w:sz w:val="18"/>
      <w:szCs w:val="18"/>
    </w:rPr>
  </w:style>
  <w:style w:type="character" w:customStyle="1" w:styleId="15">
    <w:name w:val="标题 1 Char"/>
    <w:basedOn w:val="10"/>
    <w:link w:val="3"/>
    <w:autoRedefine/>
    <w:qFormat/>
    <w:uiPriority w:val="0"/>
    <w:rPr>
      <w:rFonts w:ascii="黑体" w:hAnsi="黑体" w:eastAsia="黑体" w:cs="楷体"/>
      <w:sz w:val="32"/>
      <w:szCs w:val="32"/>
    </w:rPr>
  </w:style>
  <w:style w:type="character" w:customStyle="1" w:styleId="16">
    <w:name w:val="正文文本 Char"/>
    <w:basedOn w:val="10"/>
    <w:link w:val="4"/>
    <w:autoRedefine/>
    <w:semiHidden/>
    <w:qFormat/>
    <w:uiPriority w:val="99"/>
    <w:rPr>
      <w:rFonts w:ascii="仿宋_GB2312" w:hAnsi="仿宋_GB2312" w:eastAsia="仿宋_GB2312" w:cs="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6035</Words>
  <Characters>6265</Characters>
  <Lines>106</Lines>
  <Paragraphs>30</Paragraphs>
  <TotalTime>0</TotalTime>
  <ScaleCrop>false</ScaleCrop>
  <LinksUpToDate>false</LinksUpToDate>
  <CharactersWithSpaces>6279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2024-04-16T07:53:00Z</dcterms:created>
  <dc:creator>lenovo</dc:creator>
  <cp:lastModifiedBy>WPS_1646465717</cp:lastModifiedBy>
  <cp:lastPrinted>2024-06-05T10:05:00Z</cp:lastPrinted>
  <dcterms:modified xsi:type="dcterms:W3CDTF">2024-06-05T14:40:24Z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549E4F6436D14EE093747FA116A48E60_12</vt:lpwstr>
  </property>
</Properties>
</file>